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</w:t>
      </w:r>
      <w:r w:rsidR="00A374EC">
        <w:t>NÍ ÚŘAD</w:t>
      </w:r>
      <w:r w:rsidR="00AC0EA0" w:rsidRPr="006B14F5">
        <w:t xml:space="preserve">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695325" cy="77330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9" cy="77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2915DC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1</w:t>
      </w:r>
      <w:r w:rsidR="003E0761">
        <w:rPr>
          <w:b/>
          <w:i w:val="0"/>
          <w:iCs w:val="0"/>
          <w:szCs w:val="28"/>
        </w:rPr>
        <w:t>7</w:t>
      </w:r>
      <w:r w:rsidR="006B14F5" w:rsidRPr="006B14F5">
        <w:rPr>
          <w:b/>
          <w:i w:val="0"/>
          <w:iCs w:val="0"/>
          <w:szCs w:val="28"/>
        </w:rPr>
        <w:t xml:space="preserve">. </w:t>
      </w:r>
      <w:r w:rsidR="003E0761">
        <w:rPr>
          <w:b/>
          <w:i w:val="0"/>
          <w:iCs w:val="0"/>
          <w:szCs w:val="28"/>
        </w:rPr>
        <w:t>prosince</w:t>
      </w:r>
      <w:r w:rsidR="006B14F5" w:rsidRPr="006B14F5">
        <w:rPr>
          <w:b/>
          <w:i w:val="0"/>
          <w:iCs w:val="0"/>
          <w:szCs w:val="28"/>
        </w:rPr>
        <w:t xml:space="preserve"> 2018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790B4B" w:rsidRDefault="00790B4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rozpočtu Obce Brnířov na rok 2019</w:t>
      </w:r>
    </w:p>
    <w:p w:rsidR="00790B4B" w:rsidRDefault="00790B4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střednědobého výhledu rozpočtu Obce Brnířov na roky 2019-2021</w:t>
      </w:r>
    </w:p>
    <w:p w:rsidR="00790B4B" w:rsidRDefault="00790B4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rozpočtu MŠ Brnířov na rok 2019</w:t>
      </w:r>
    </w:p>
    <w:p w:rsidR="00790B4B" w:rsidRPr="00790B4B" w:rsidRDefault="00790B4B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790B4B">
        <w:rPr>
          <w:iCs/>
          <w:sz w:val="28"/>
          <w:szCs w:val="28"/>
        </w:rPr>
        <w:t>Schválení střednědobého výhledu rozpočtu MŠ Brnířov na roky 20</w:t>
      </w:r>
      <w:r>
        <w:rPr>
          <w:iCs/>
          <w:sz w:val="28"/>
          <w:szCs w:val="28"/>
        </w:rPr>
        <w:t>19</w:t>
      </w:r>
      <w:r w:rsidRPr="00790B4B">
        <w:rPr>
          <w:iCs/>
          <w:sz w:val="28"/>
          <w:szCs w:val="28"/>
        </w:rPr>
        <w:t>-2021</w:t>
      </w:r>
    </w:p>
    <w:p w:rsidR="00790B4B" w:rsidRDefault="00790B4B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Rozpočtové opatření</w:t>
      </w:r>
    </w:p>
    <w:p w:rsidR="00C06FDA" w:rsidRDefault="00C06FDA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Stanovení ceny vodného a stočného pro rok 2019</w:t>
      </w:r>
    </w:p>
    <w:p w:rsidR="003E0761" w:rsidRDefault="003E0761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Plán financování </w:t>
      </w:r>
      <w:r w:rsidR="00227FAC">
        <w:rPr>
          <w:iCs/>
          <w:sz w:val="28"/>
          <w:szCs w:val="28"/>
        </w:rPr>
        <w:t xml:space="preserve">obnovy </w:t>
      </w:r>
      <w:r>
        <w:rPr>
          <w:iCs/>
          <w:sz w:val="28"/>
          <w:szCs w:val="28"/>
        </w:rPr>
        <w:t>vodovodu a kanalizace</w:t>
      </w:r>
    </w:p>
    <w:p w:rsidR="00C12F6B" w:rsidRDefault="00C12F6B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Schválení směrnice 1/2019</w:t>
      </w:r>
      <w:r w:rsidR="00227FAC">
        <w:rPr>
          <w:iCs/>
          <w:sz w:val="28"/>
          <w:szCs w:val="28"/>
        </w:rPr>
        <w:t xml:space="preserve"> o vytváření rezervy finančních prostředků na obnovu vodovodu a kanalizace</w:t>
      </w:r>
    </w:p>
    <w:p w:rsidR="003E0761" w:rsidRDefault="003E0761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Vyhláška č. 1/2019 o regulaci nočního klidu</w:t>
      </w:r>
    </w:p>
    <w:p w:rsidR="00B216A6" w:rsidRPr="00647084" w:rsidRDefault="003D2433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32DD8"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="00E32DD8"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="00E32DD8"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454DF" w:rsidRDefault="007F692B" w:rsidP="00F17BA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227FAC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>. 2018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227FAC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>. 2018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862301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2018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3D2433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>. 2018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227F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940079C"/>
    <w:multiLevelType w:val="hybridMultilevel"/>
    <w:tmpl w:val="211ED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7C812373"/>
    <w:multiLevelType w:val="hybridMultilevel"/>
    <w:tmpl w:val="70529C0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27FAC"/>
    <w:rsid w:val="002606EB"/>
    <w:rsid w:val="002915DC"/>
    <w:rsid w:val="002D0241"/>
    <w:rsid w:val="002F2381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433"/>
    <w:rsid w:val="003D2AB7"/>
    <w:rsid w:val="003D6872"/>
    <w:rsid w:val="003E0761"/>
    <w:rsid w:val="003E786B"/>
    <w:rsid w:val="00404E5F"/>
    <w:rsid w:val="0042530A"/>
    <w:rsid w:val="00433EF3"/>
    <w:rsid w:val="00434EE1"/>
    <w:rsid w:val="004741F2"/>
    <w:rsid w:val="004754DC"/>
    <w:rsid w:val="00486947"/>
    <w:rsid w:val="004A1F8C"/>
    <w:rsid w:val="004E1C9B"/>
    <w:rsid w:val="004F667E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90B4B"/>
    <w:rsid w:val="007C3004"/>
    <w:rsid w:val="007F0791"/>
    <w:rsid w:val="007F692B"/>
    <w:rsid w:val="0082252D"/>
    <w:rsid w:val="00824865"/>
    <w:rsid w:val="0083519B"/>
    <w:rsid w:val="00862301"/>
    <w:rsid w:val="00881161"/>
    <w:rsid w:val="00885D15"/>
    <w:rsid w:val="008A0FE5"/>
    <w:rsid w:val="008C078E"/>
    <w:rsid w:val="008E75CB"/>
    <w:rsid w:val="008F38DA"/>
    <w:rsid w:val="008F3E83"/>
    <w:rsid w:val="00906F80"/>
    <w:rsid w:val="00936152"/>
    <w:rsid w:val="00947F8B"/>
    <w:rsid w:val="009512D6"/>
    <w:rsid w:val="009519DE"/>
    <w:rsid w:val="00973143"/>
    <w:rsid w:val="00973AEA"/>
    <w:rsid w:val="009D2B49"/>
    <w:rsid w:val="009F488F"/>
    <w:rsid w:val="00A374EC"/>
    <w:rsid w:val="00A614AF"/>
    <w:rsid w:val="00A675D3"/>
    <w:rsid w:val="00A9627A"/>
    <w:rsid w:val="00AB2C84"/>
    <w:rsid w:val="00AC0EA0"/>
    <w:rsid w:val="00AC3B77"/>
    <w:rsid w:val="00B216A6"/>
    <w:rsid w:val="00B454DF"/>
    <w:rsid w:val="00B463EF"/>
    <w:rsid w:val="00B47CC0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06FDA"/>
    <w:rsid w:val="00C12F6B"/>
    <w:rsid w:val="00C36BD8"/>
    <w:rsid w:val="00C72E41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95421"/>
    <w:rsid w:val="00D9641D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B7BEE"/>
    <w:rsid w:val="00EC131A"/>
    <w:rsid w:val="00EC17EB"/>
    <w:rsid w:val="00EF1A4B"/>
    <w:rsid w:val="00EF53A2"/>
    <w:rsid w:val="00F17BA7"/>
    <w:rsid w:val="00F201DB"/>
    <w:rsid w:val="00F832D2"/>
    <w:rsid w:val="00F96B69"/>
    <w:rsid w:val="00FF1327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9C4D-790F-4840-A776-C521CAC9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5</cp:revision>
  <cp:lastPrinted>2018-04-17T06:46:00Z</cp:lastPrinted>
  <dcterms:created xsi:type="dcterms:W3CDTF">2018-12-04T11:53:00Z</dcterms:created>
  <dcterms:modified xsi:type="dcterms:W3CDTF">2018-12-05T18:47:00Z</dcterms:modified>
</cp:coreProperties>
</file>